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278EC" w14:textId="712C1D65" w:rsidR="009D7852" w:rsidRPr="00E775A2" w:rsidRDefault="002B3E91" w:rsidP="009A57D8">
      <w:pPr>
        <w:pStyle w:val="Tekstpodstawowywcity"/>
        <w:ind w:firstLine="0"/>
        <w:jc w:val="both"/>
        <w:rPr>
          <w:sz w:val="22"/>
          <w:szCs w:val="22"/>
        </w:rPr>
      </w:pPr>
      <w:r w:rsidRPr="00E775A2">
        <w:rPr>
          <w:sz w:val="22"/>
          <w:szCs w:val="22"/>
        </w:rPr>
        <w:t xml:space="preserve">Załącznik </w:t>
      </w:r>
      <w:r w:rsidR="009D7852" w:rsidRPr="00E775A2">
        <w:rPr>
          <w:sz w:val="22"/>
          <w:szCs w:val="22"/>
        </w:rPr>
        <w:t xml:space="preserve">B. </w:t>
      </w:r>
      <w:r w:rsidRPr="00E775A2">
        <w:rPr>
          <w:sz w:val="22"/>
          <w:szCs w:val="22"/>
        </w:rPr>
        <w:t>159.</w:t>
      </w:r>
    </w:p>
    <w:p w14:paraId="49B4E41F" w14:textId="77777777" w:rsidR="002B3E91" w:rsidRPr="00E775A2" w:rsidRDefault="002B3E91" w:rsidP="009A57D8">
      <w:pPr>
        <w:pStyle w:val="Tekstpodstawowywcity"/>
        <w:ind w:firstLine="0"/>
        <w:jc w:val="both"/>
        <w:rPr>
          <w:sz w:val="22"/>
          <w:szCs w:val="22"/>
        </w:rPr>
      </w:pPr>
    </w:p>
    <w:p w14:paraId="2A95BA12" w14:textId="77777777" w:rsidR="009D7852" w:rsidRPr="00E775A2" w:rsidRDefault="009D7852" w:rsidP="009A57D8">
      <w:pPr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E775A2">
        <w:rPr>
          <w:rFonts w:ascii="Times New Roman" w:eastAsia="Times New Roman" w:hAnsi="Times New Roman"/>
          <w:b/>
          <w:sz w:val="28"/>
          <w:szCs w:val="28"/>
          <w:lang w:eastAsia="pl-PL"/>
        </w:rPr>
        <w:t>LECZENIE CHORYCH NA RAKA SZYJKI MACICY (ICD-10: C53)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CC1C9F" w:rsidRPr="00E775A2" w14:paraId="7C7057AB" w14:textId="77777777" w:rsidTr="0040186E">
        <w:trPr>
          <w:trHeight w:val="567"/>
        </w:trPr>
        <w:tc>
          <w:tcPr>
            <w:tcW w:w="15390" w:type="dxa"/>
            <w:gridSpan w:val="3"/>
            <w:vAlign w:val="center"/>
          </w:tcPr>
          <w:p w14:paraId="4D101131" w14:textId="77777777" w:rsidR="009D7852" w:rsidRPr="00E775A2" w:rsidRDefault="009D7852" w:rsidP="00CE7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CC1C9F" w:rsidRPr="00E775A2" w14:paraId="7A809B08" w14:textId="77777777" w:rsidTr="0040186E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7CE03746" w14:textId="77777777" w:rsidR="009D7852" w:rsidRPr="00E775A2" w:rsidRDefault="009D7852" w:rsidP="00CE7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40B577E2" w14:textId="77777777" w:rsidR="009D7852" w:rsidRPr="00E775A2" w:rsidRDefault="009D7852" w:rsidP="00CE7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SCHEMAT DAWKOWANIA LEKU </w:t>
            </w: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vAlign w:val="center"/>
          </w:tcPr>
          <w:p w14:paraId="0CC4F1E5" w14:textId="77777777" w:rsidR="009D7852" w:rsidRPr="00E775A2" w:rsidRDefault="009D7852" w:rsidP="00CE7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BADANIA DIAGNOSTYCZNE WYKONYWANE </w:t>
            </w:r>
            <w:r w:rsidRPr="00E775A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W RAMACH PROGRAMU</w:t>
            </w:r>
          </w:p>
        </w:tc>
      </w:tr>
      <w:tr w:rsidR="009D7852" w:rsidRPr="00CC1C9F" w14:paraId="0F91E1C3" w14:textId="77777777" w:rsidTr="0040186E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</w:tcPr>
          <w:p w14:paraId="092BA45D" w14:textId="1F4BCD88" w:rsidR="00F30AAE" w:rsidRPr="00E775A2" w:rsidRDefault="00F30AAE" w:rsidP="00CE721A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W programie finansuje się leczenie </w:t>
            </w:r>
            <w:r w:rsidR="00975E58"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pacjentek na 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raka szyjki macicy </w:t>
            </w:r>
            <w:r w:rsidR="00975E58" w:rsidRPr="00E775A2">
              <w:rPr>
                <w:rFonts w:ascii="Times New Roman" w:hAnsi="Times New Roman"/>
                <w:bCs/>
                <w:sz w:val="20"/>
                <w:szCs w:val="20"/>
              </w:rPr>
              <w:t>inhibitorami PD-1</w:t>
            </w:r>
            <w:r w:rsidR="00262DB7" w:rsidRPr="00E775A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AF2319" w14:textId="0C781703" w:rsidR="00F30AAE" w:rsidRPr="00E775A2" w:rsidRDefault="00F30AAE" w:rsidP="009A57D8">
            <w:pPr>
              <w:pStyle w:val="Akapitzlist"/>
              <w:numPr>
                <w:ilvl w:val="0"/>
                <w:numId w:val="2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W leczeniu </w:t>
            </w:r>
            <w:r w:rsidR="00B047A9"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pierwotnym 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chorych na nowozdiagnozowanego, miejscowo zaawansowanego raka szyjki macicy dostępna jest terapia:</w:t>
            </w:r>
          </w:p>
          <w:p w14:paraId="45FD2988" w14:textId="2F19D153" w:rsidR="00F30AAE" w:rsidRPr="00CE721A" w:rsidRDefault="00F30AAE" w:rsidP="00CE721A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pembrolizumab w </w:t>
            </w:r>
            <w:r w:rsidR="00617C97" w:rsidRPr="00E775A2">
              <w:rPr>
                <w:rFonts w:ascii="Times New Roman" w:hAnsi="Times New Roman"/>
                <w:bCs/>
                <w:sz w:val="20"/>
                <w:szCs w:val="20"/>
              </w:rPr>
              <w:t>skojarzeniu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 z chemioradioterapią, a</w:t>
            </w:r>
            <w:r w:rsidR="00975E58"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następnie w </w:t>
            </w:r>
            <w:proofErr w:type="spellStart"/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monoterapii</w:t>
            </w:r>
            <w:proofErr w:type="spellEnd"/>
            <w:r w:rsidR="00CC1C9F" w:rsidRPr="00E775A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895AEBD" w14:textId="2BEEB037" w:rsidR="00A01DF9" w:rsidRPr="00E775A2" w:rsidRDefault="00975E58" w:rsidP="00CE721A">
            <w:pPr>
              <w:pStyle w:val="Akapitzlist"/>
              <w:numPr>
                <w:ilvl w:val="0"/>
                <w:numId w:val="2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W leczeniu chorych na </w:t>
            </w:r>
            <w:r w:rsidR="00F30AAE"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przetrwałego, nawrotowego lub przerzutowego raka szyjki macicy 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dostępne są terapie:</w:t>
            </w:r>
          </w:p>
          <w:p w14:paraId="6DA6C469" w14:textId="22B2AD41" w:rsidR="00681C09" w:rsidRPr="00E775A2" w:rsidRDefault="00681C09" w:rsidP="00CE721A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pembrolizumab w skojarzeniu z chemioterapią, z bewacyzumabem lub bez bewacyzumabu w I lini</w:t>
            </w:r>
            <w:r w:rsidR="00B047A9" w:rsidRPr="00E775A2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 leczenia systemowego;</w:t>
            </w:r>
          </w:p>
          <w:p w14:paraId="31C9D90C" w14:textId="66A6A91D" w:rsidR="00681C09" w:rsidRPr="00E775A2" w:rsidRDefault="005B1B77" w:rsidP="00CE721A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cemiplimab w monoterapii w II albo III linii leczenia systemowego po chemioterapii lub chemioterapii z </w:t>
            </w:r>
            <w:proofErr w:type="spellStart"/>
            <w:r w:rsidR="00617C97" w:rsidRPr="00E775A2">
              <w:rPr>
                <w:rFonts w:ascii="Times New Roman" w:hAnsi="Times New Roman"/>
                <w:bCs/>
                <w:sz w:val="20"/>
                <w:szCs w:val="20"/>
              </w:rPr>
              <w:t>bewacyzumabem</w:t>
            </w:r>
            <w:proofErr w:type="spellEnd"/>
            <w:r w:rsidR="007B3C11" w:rsidRPr="00E775A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90C12C2" w14:textId="624DBA54" w:rsidR="00681C09" w:rsidRPr="00E775A2" w:rsidRDefault="00681C09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W programie istnieje jednorazowa możliwość leczenia z użyciem immunoterapii.</w:t>
            </w:r>
          </w:p>
          <w:p w14:paraId="67F08101" w14:textId="77777777" w:rsidR="00681C09" w:rsidRPr="00E775A2" w:rsidRDefault="00681C09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CB4B528" w14:textId="18955EC6" w:rsidR="009D7852" w:rsidRPr="00E775A2" w:rsidRDefault="009D7852" w:rsidP="009A57D8">
            <w:pPr>
              <w:pStyle w:val="Akapitzlist"/>
              <w:numPr>
                <w:ilvl w:val="0"/>
                <w:numId w:val="1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Kryteria kwalifikacji</w:t>
            </w:r>
          </w:p>
          <w:p w14:paraId="1C3D1251" w14:textId="52B7C419" w:rsidR="00CB7E6A" w:rsidRPr="00E775A2" w:rsidRDefault="00170BE1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Muszą zostać spełnione łącznie kryteria ogólne (1.1.) oraz kryteria szczegółowe (1.2.</w:t>
            </w:r>
            <w:r w:rsidR="00497992" w:rsidRPr="00E775A2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 dla poszczególnych terapii.</w:t>
            </w:r>
          </w:p>
          <w:p w14:paraId="5EEDEE9F" w14:textId="1A2490C2" w:rsidR="00CB7E6A" w:rsidRPr="00E775A2" w:rsidRDefault="00CB7E6A" w:rsidP="009A57D8">
            <w:pPr>
              <w:numPr>
                <w:ilvl w:val="0"/>
                <w:numId w:val="21"/>
              </w:numPr>
              <w:spacing w:after="60"/>
              <w:ind w:left="357" w:hanging="3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Ogólne kryteria kwalifikacji</w:t>
            </w:r>
          </w:p>
          <w:p w14:paraId="0D55360A" w14:textId="4D00BCB9" w:rsidR="00785593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 histologiczne raka gruczołowego lub gruczołowo-płaskonabłonkowego</w:t>
            </w:r>
            <w:r w:rsidR="00400393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płaskonabłonkowego;</w:t>
            </w:r>
          </w:p>
          <w:p w14:paraId="12646E49" w14:textId="3EAB1EE9" w:rsidR="00FF3A60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Hlk89258743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 ocena odpowiedzi na leczenie zmian nowotworowych według aktualnej klasyfikacji RECIST;</w:t>
            </w:r>
          </w:p>
          <w:bookmarkEnd w:id="0"/>
          <w:p w14:paraId="2DB57DB9" w14:textId="77777777" w:rsidR="009D7852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 powyżej 18 roku życia;</w:t>
            </w:r>
          </w:p>
          <w:p w14:paraId="26A4EB6A" w14:textId="77777777" w:rsidR="009D7852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 sprawności 0-1 według skali ECOG;</w:t>
            </w:r>
          </w:p>
          <w:p w14:paraId="2C3517DE" w14:textId="71AD21D0" w:rsidR="00785593" w:rsidRPr="00E775A2" w:rsidRDefault="00785593" w:rsidP="009A57D8">
            <w:pPr>
              <w:pStyle w:val="Akapitzlist"/>
              <w:numPr>
                <w:ilvl w:val="0"/>
                <w:numId w:val="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 objawowych przerzutów do OUN;</w:t>
            </w:r>
          </w:p>
          <w:p w14:paraId="7FA2DE0C" w14:textId="50C102C7" w:rsidR="00785593" w:rsidRPr="00E775A2" w:rsidRDefault="009D7852" w:rsidP="002D39A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84" w:hanging="35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 innych nowotworów niekontrolowanych leczeniem;</w:t>
            </w:r>
          </w:p>
          <w:p w14:paraId="50492F52" w14:textId="224D20FE" w:rsidR="002D39A6" w:rsidRPr="00E775A2" w:rsidRDefault="002D39A6" w:rsidP="002D39A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hAnsi="Times New Roman"/>
                <w:sz w:val="20"/>
                <w:szCs w:val="20"/>
                <w:lang w:eastAsia="pl-PL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6E05FAD1" w14:textId="1F9C7535" w:rsidR="009D7852" w:rsidRPr="00E775A2" w:rsidRDefault="009D7852" w:rsidP="002D39A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hAnsi="Times New Roman"/>
                <w:sz w:val="20"/>
                <w:szCs w:val="20"/>
                <w:lang w:eastAsia="pl-PL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76742493" w14:textId="6D13B7AA" w:rsidR="009D7852" w:rsidRPr="00E775A2" w:rsidRDefault="009D7852" w:rsidP="002D39A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przeciwskazań do stosowania leku zgodnie z aktualną</w:t>
            </w:r>
            <w:r w:rsidR="00804900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Charakterystyką Produktu Leczniczego (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="00804900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AC16F5" w14:textId="77777777" w:rsidR="009D7852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nieobecność istotnych schorzeń współistniejących lub stanów klinicznych stanowiących przeciwskazanie do terapii stwierdzone przez lekarza prowadzącego w oparciu o aktualną ChPL; </w:t>
            </w:r>
          </w:p>
          <w:p w14:paraId="44F9A313" w14:textId="77777777" w:rsidR="009D7852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zgoda pacjentki na prowadzenie antykoncepcji zgodnie z aktualną ChPL;</w:t>
            </w:r>
          </w:p>
          <w:p w14:paraId="37F1E339" w14:textId="77777777" w:rsidR="009D7852" w:rsidRPr="00E775A2" w:rsidRDefault="009D7852" w:rsidP="009A57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ciąży i okresu karmienia piersią.</w:t>
            </w:r>
          </w:p>
          <w:p w14:paraId="4324DA3F" w14:textId="77777777" w:rsidR="00B86407" w:rsidRPr="00E775A2" w:rsidRDefault="00B86407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B594B" w14:textId="77777777" w:rsidR="00497992" w:rsidRPr="00E775A2" w:rsidRDefault="00B86407" w:rsidP="009A57D8">
            <w:pPr>
              <w:pStyle w:val="Akapitzlist"/>
              <w:numPr>
                <w:ilvl w:val="1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Szczegółowe kryteria kwalifikacji </w:t>
            </w:r>
          </w:p>
          <w:p w14:paraId="32E3EF5E" w14:textId="62D62D79" w:rsidR="00B86407" w:rsidRPr="00E775A2" w:rsidRDefault="00B86407" w:rsidP="00497992">
            <w:pPr>
              <w:pStyle w:val="Akapitzlist"/>
              <w:numPr>
                <w:ilvl w:val="2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chorych na nowozdiagnozowanego, miejscowo zaawansowanego raka szyjki macicy 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047A9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leczeniu pierwotnym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17C97" w:rsidRPr="00E775A2">
              <w:rPr>
                <w:rFonts w:ascii="Times New Roman" w:hAnsi="Times New Roman"/>
                <w:b/>
                <w:sz w:val="20"/>
                <w:szCs w:val="20"/>
              </w:rPr>
              <w:t>pembrolizumabem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w </w:t>
            </w:r>
            <w:r w:rsidR="00617C97" w:rsidRPr="00E775A2">
              <w:rPr>
                <w:rFonts w:ascii="Times New Roman" w:hAnsi="Times New Roman"/>
                <w:b/>
                <w:sz w:val="20"/>
                <w:szCs w:val="20"/>
              </w:rPr>
              <w:t>skojarzeniu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z chemioradioterapią, a następnie w monoterapii</w:t>
            </w:r>
            <w:r w:rsidR="008D5A68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6D62A5C3" w14:textId="7FA1B6BD" w:rsidR="00B86407" w:rsidRPr="00E775A2" w:rsidRDefault="00B86407" w:rsidP="009A57D8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nowozdiagnozowany, miejscowo zaawansowany rak szyjki macicy (stopień III-IVA zgodnie z klasyfikacją FIGO z 2014 r.)</w:t>
            </w:r>
            <w:r w:rsidR="00CE721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C7E2804" w14:textId="1E880E1E" w:rsidR="00B86407" w:rsidRPr="00E775A2" w:rsidRDefault="00B86407" w:rsidP="009A57D8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niestosowanie wcześniej terapii systemowej, immunoterapii, radykalnego leczenia chirurgiczne</w:t>
            </w:r>
            <w:r w:rsidR="00B047A9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(tj. z zachowaną macicą) lub radioterapii z powodu raka szyjki macicy.</w:t>
            </w:r>
          </w:p>
          <w:p w14:paraId="03A17476" w14:textId="77777777" w:rsidR="00B86407" w:rsidRPr="00E775A2" w:rsidRDefault="00B86407" w:rsidP="009A57D8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69911C1" w14:textId="7F05FC34" w:rsidR="00CB7E6A" w:rsidRPr="00E775A2" w:rsidRDefault="00B86407" w:rsidP="00497992">
            <w:pPr>
              <w:pStyle w:val="Akapitzlist"/>
              <w:numPr>
                <w:ilvl w:val="2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chorych na przetrwałego, nawrotowego lub przerzutowego raka szyjki macicy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w I lini</w:t>
            </w:r>
            <w:r w:rsidR="00B047A9" w:rsidRPr="00E775A2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leczenia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pembrolizumab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>em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w skojarzeniu z chemioterapią, z </w:t>
            </w:r>
            <w:proofErr w:type="spellStart"/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bewacyzumabem</w:t>
            </w:r>
            <w:proofErr w:type="spellEnd"/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lub bez </w:t>
            </w:r>
            <w:proofErr w:type="spellStart"/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bewacyzumabu</w:t>
            </w:r>
            <w:proofErr w:type="spellEnd"/>
          </w:p>
          <w:p w14:paraId="5320B975" w14:textId="77777777" w:rsidR="00CB7E6A" w:rsidRPr="00E775A2" w:rsidRDefault="00CB7E6A" w:rsidP="009A57D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przetrwały, nawrotowy lub przerzutowy rak szyjki macicy niekwalifikujący się do radykalnego leczenia chirurgicznego lub radykalnej radioterapii;</w:t>
            </w:r>
          </w:p>
          <w:p w14:paraId="29779506" w14:textId="77777777" w:rsidR="00CB7E6A" w:rsidRPr="00E775A2" w:rsidRDefault="00CB7E6A" w:rsidP="009A57D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wcześniejszego leczenia chemioterapią ogólnoustrojową, za wyjątkiem zastosowania jej równocześnie jako środka uwrażliwiającego na promieniowanie jonizujące (w przypadku leczenia pembrolizumabem w skojarzeniu z chemioterapią, z bewacyzumabem lub bez bewacyzumabu);</w:t>
            </w:r>
          </w:p>
          <w:p w14:paraId="7797865B" w14:textId="5C2D8EEB" w:rsidR="00CB7E6A" w:rsidRPr="00E775A2" w:rsidRDefault="00CB7E6A" w:rsidP="009A57D8">
            <w:pPr>
              <w:pStyle w:val="Akapitzlist"/>
              <w:numPr>
                <w:ilvl w:val="0"/>
                <w:numId w:val="22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potwierdzona ekspresja PD-L1 z CPS (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combined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positive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score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 ≥1, oznaczona zwalidowanym testem (w przypadku leczenia pembrolizumabem w skojarzeniu z chemioterapią, z bewacyzumabem lub bez bewacyzumabu)</w:t>
            </w:r>
            <w:r w:rsidR="00B86407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0DC35D4" w14:textId="77777777" w:rsidR="00B86407" w:rsidRPr="00E775A2" w:rsidRDefault="00B86407" w:rsidP="009A57D8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73F95CA" w14:textId="23A9524D" w:rsidR="00B86407" w:rsidRPr="00E775A2" w:rsidRDefault="00B86407" w:rsidP="00497992">
            <w:pPr>
              <w:pStyle w:val="Akapitzlist"/>
              <w:numPr>
                <w:ilvl w:val="2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chorych na przetrwałego, nawrotowego lub przerzutowego raka szyjki macicy 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w II albo III linii leczenia 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cemiplimab</w:t>
            </w:r>
            <w:r w:rsidR="00262DB7" w:rsidRPr="00E775A2">
              <w:rPr>
                <w:rFonts w:ascii="Times New Roman" w:hAnsi="Times New Roman"/>
                <w:b/>
                <w:sz w:val="20"/>
                <w:szCs w:val="20"/>
              </w:rPr>
              <w:t>em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w monoterapii </w:t>
            </w:r>
          </w:p>
          <w:p w14:paraId="1D6243BF" w14:textId="77777777" w:rsidR="00B86407" w:rsidRPr="00E775A2" w:rsidRDefault="00B86407" w:rsidP="009A57D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przetrwały, nawrotowy lub przerzutowy rak szyjki macicy niekwalifikujący się do radykalnego leczenia chirurgicznego lub radykalnej radioterapii;</w:t>
            </w:r>
          </w:p>
          <w:p w14:paraId="2D1E2918" w14:textId="618B54FA" w:rsidR="00975E58" w:rsidRPr="00E775A2" w:rsidRDefault="00B86407" w:rsidP="009A57D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 choroby w trakcie lub po chemioterapii opartej na związkach platyny</w:t>
            </w:r>
            <w:r w:rsidR="000A5984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919EAFE" w14:textId="77777777" w:rsidR="000A5984" w:rsidRPr="00E775A2" w:rsidRDefault="000A5984" w:rsidP="009A57D8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7F663CA" w14:textId="0F6401E7" w:rsidR="009D7852" w:rsidRPr="00E775A2" w:rsidRDefault="00B866CF" w:rsidP="00CE721A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</w:t>
            </w:r>
            <w:r w:rsidR="004B17E2" w:rsidRPr="00E775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02C85C" w14:textId="77777777" w:rsidR="00B866CF" w:rsidRPr="00E775A2" w:rsidRDefault="00B866CF" w:rsidP="009A57D8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5F04EA" w14:textId="77777777" w:rsidR="009D7852" w:rsidRPr="00E775A2" w:rsidRDefault="009D7852" w:rsidP="009A57D8">
            <w:pPr>
              <w:pStyle w:val="Akapitzlist"/>
              <w:numPr>
                <w:ilvl w:val="0"/>
                <w:numId w:val="1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Określenie czasu leczenia w programie</w:t>
            </w:r>
          </w:p>
          <w:p w14:paraId="224C5841" w14:textId="77777777" w:rsidR="009D7852" w:rsidRPr="00E775A2" w:rsidRDefault="009D7852" w:rsidP="009A57D8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14:paraId="6B1FCF5F" w14:textId="77777777" w:rsidR="00B86407" w:rsidRPr="00E775A2" w:rsidRDefault="00B86407" w:rsidP="009A57D8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Dodatkowo, w przypadku nowozdiagnozowanego, miejscowo zaawansowanego raka szyjki macicy leczenie pembrolizumabem może trwać maksymalnie 20 podań (tj. 5 podań po 200 mg co 3 tygodnie, a następnie 15 podań po 400 mg co 6 tyg.).</w:t>
            </w:r>
          </w:p>
          <w:p w14:paraId="65E287E2" w14:textId="77777777" w:rsidR="009D7852" w:rsidRPr="00E775A2" w:rsidRDefault="009D7852" w:rsidP="009A57D8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E83D3E0" w14:textId="77777777" w:rsidR="009D7852" w:rsidRPr="00E775A2" w:rsidRDefault="009D7852" w:rsidP="009A57D8">
            <w:pPr>
              <w:pStyle w:val="Akapitzlist"/>
              <w:numPr>
                <w:ilvl w:val="0"/>
                <w:numId w:val="1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62640BFE" w14:textId="74895328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objawów nadwrażliwości</w:t>
            </w:r>
            <w:r w:rsidR="00BE7C2E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którykolwiek ze stosowanych leków 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substancję pomocniczą;</w:t>
            </w:r>
          </w:p>
          <w:p w14:paraId="332D0463" w14:textId="2894B00D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 choroby oceniona zgodnie z aktualnie obowiązującymi kryteriami RECIST,</w:t>
            </w: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 xml:space="preserve"> w sytuacji wątpliwej, a gdy stan pacjentki jest stabilny klinicznie, możliwe jest kontynuowanie leczenia, aż do potwierdzenia progresji w następnym badaniu obrazowym wykonanym w ciągu 4 do 8 tyg</w:t>
            </w:r>
            <w:r w:rsidR="00D33015" w:rsidRPr="00E775A2">
              <w:rPr>
                <w:rFonts w:ascii="Times New Roman" w:hAnsi="Times New Roman"/>
                <w:bCs/>
                <w:sz w:val="20"/>
                <w:szCs w:val="20"/>
              </w:rPr>
              <w:t>odni;</w:t>
            </w:r>
          </w:p>
          <w:p w14:paraId="610E2021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obniżenie sprawności do stopnia 2-4 według skali ECOG;</w:t>
            </w:r>
          </w:p>
          <w:p w14:paraId="75F38DD7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B957AFA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wystąpienie chorób lub stanów, które w opinii lekarza prowadzącego uniemożliwiają dalsze prowadzenie leczenia; </w:t>
            </w:r>
          </w:p>
          <w:p w14:paraId="509B84B0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93E32CB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080E1340" w14:textId="77777777" w:rsidR="009D7852" w:rsidRPr="00E775A2" w:rsidRDefault="009D7852" w:rsidP="009A57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22F944C" w14:textId="77777777" w:rsidR="008D5A68" w:rsidRPr="00E775A2" w:rsidRDefault="008D5A68" w:rsidP="009A57D8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30EE7E1" w14:textId="0D01E2A9" w:rsidR="00262DB7" w:rsidRPr="00E775A2" w:rsidRDefault="00262DB7" w:rsidP="00CE721A">
            <w:p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1. Dawkowanie leków</w:t>
            </w:r>
          </w:p>
          <w:p w14:paraId="415F13F4" w14:textId="00610C3D" w:rsidR="00BD5D4F" w:rsidRPr="00E775A2" w:rsidRDefault="00BD5D4F" w:rsidP="009A57D8">
            <w:pPr>
              <w:pStyle w:val="Akapitzlist"/>
              <w:numPr>
                <w:ilvl w:val="1"/>
                <w:numId w:val="37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Leczenie</w:t>
            </w:r>
            <w:r w:rsidR="00655B7C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nowozdiagnozowanego, miejscowo zaawansowanego raka szyjki macicy</w:t>
            </w:r>
          </w:p>
          <w:p w14:paraId="56E1E04E" w14:textId="3BAC7F63" w:rsidR="00533A9C" w:rsidRPr="00E775A2" w:rsidRDefault="00262DB7" w:rsidP="00497992">
            <w:pPr>
              <w:pStyle w:val="Akapitzlist"/>
              <w:numPr>
                <w:ilvl w:val="2"/>
                <w:numId w:val="37"/>
              </w:numPr>
              <w:spacing w:after="60"/>
              <w:ind w:left="505" w:hanging="505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3A9C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embrolizumab w </w:t>
            </w:r>
            <w:r w:rsidR="00617C97" w:rsidRPr="00E775A2">
              <w:rPr>
                <w:rFonts w:ascii="Times New Roman" w:hAnsi="Times New Roman"/>
                <w:b/>
                <w:sz w:val="20"/>
                <w:szCs w:val="20"/>
              </w:rPr>
              <w:t>skojarzeniu</w:t>
            </w:r>
            <w:r w:rsidR="00533A9C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z chemioradioterapią, a następnie w </w:t>
            </w:r>
            <w:proofErr w:type="spellStart"/>
            <w:r w:rsidR="00533A9C" w:rsidRPr="00E775A2">
              <w:rPr>
                <w:rFonts w:ascii="Times New Roman" w:hAnsi="Times New Roman"/>
                <w:b/>
                <w:sz w:val="20"/>
                <w:szCs w:val="20"/>
              </w:rPr>
              <w:t>monoterapii</w:t>
            </w:r>
            <w:proofErr w:type="spellEnd"/>
          </w:p>
          <w:p w14:paraId="714FA884" w14:textId="2A37C129" w:rsidR="00533A9C" w:rsidRPr="00E775A2" w:rsidRDefault="00533A9C" w:rsidP="009A57D8">
            <w:pPr>
              <w:spacing w:after="60"/>
              <w:jc w:val="both"/>
              <w:rPr>
                <w:rStyle w:val="cf01"/>
                <w:rFonts w:ascii="Times New Roman" w:hAnsi="Times New Roman"/>
                <w:sz w:val="20"/>
                <w:szCs w:val="20"/>
              </w:rPr>
            </w:pPr>
            <w:r w:rsidRPr="00E775A2">
              <w:rPr>
                <w:rStyle w:val="cf01"/>
                <w:rFonts w:ascii="Times New Roman" w:hAnsi="Times New Roman"/>
                <w:sz w:val="20"/>
                <w:szCs w:val="20"/>
              </w:rPr>
              <w:t xml:space="preserve">Początkowo pembrolizumab stosowany jest jednocześnie z chemioradioterapią. Następnie pembrolizumab stosowany jest w </w:t>
            </w:r>
            <w:proofErr w:type="spellStart"/>
            <w:r w:rsidRPr="00E775A2">
              <w:rPr>
                <w:rStyle w:val="cf01"/>
                <w:rFonts w:ascii="Times New Roman" w:hAnsi="Times New Roman"/>
                <w:sz w:val="20"/>
                <w:szCs w:val="20"/>
              </w:rPr>
              <w:t>monoterapii</w:t>
            </w:r>
            <w:proofErr w:type="spellEnd"/>
            <w:r w:rsidRPr="00E775A2">
              <w:rPr>
                <w:rStyle w:val="cf01"/>
                <w:rFonts w:ascii="Times New Roman" w:hAnsi="Times New Roman"/>
                <w:sz w:val="20"/>
                <w:szCs w:val="20"/>
              </w:rPr>
              <w:t>.</w:t>
            </w:r>
          </w:p>
          <w:p w14:paraId="2784B701" w14:textId="1800B962" w:rsidR="00533A9C" w:rsidRPr="00E775A2" w:rsidRDefault="00533A9C" w:rsidP="009A57D8">
            <w:pPr>
              <w:spacing w:after="60"/>
              <w:jc w:val="both"/>
              <w:rPr>
                <w:rStyle w:val="cf01"/>
                <w:rFonts w:ascii="Times New Roman" w:hAnsi="Times New Roman"/>
                <w:sz w:val="20"/>
                <w:szCs w:val="20"/>
              </w:rPr>
            </w:pPr>
            <w:r w:rsidRPr="00E775A2">
              <w:rPr>
                <w:rStyle w:val="cf01"/>
                <w:rFonts w:ascii="Times New Roman" w:hAnsi="Times New Roman"/>
                <w:sz w:val="20"/>
                <w:szCs w:val="20"/>
              </w:rPr>
              <w:t>Rozpoczęcie podawania pembrolizumabu powinno nastąpić w ciągu 3 dni od rozpoczęcia chemioradioterapii.</w:t>
            </w:r>
          </w:p>
          <w:p w14:paraId="296D5BBC" w14:textId="77777777" w:rsidR="00533A9C" w:rsidRPr="00E775A2" w:rsidRDefault="00533A9C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Zalecana dawka pembrolizumabu:</w:t>
            </w:r>
          </w:p>
          <w:p w14:paraId="3505F2A0" w14:textId="6ED49E85" w:rsidR="00533A9C" w:rsidRPr="00E775A2" w:rsidRDefault="00533A9C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5 pierwszych podań po 200 mg co 3 tygodnie, a następnie 15 podań po 400 mg co 6 tygodni.</w:t>
            </w:r>
          </w:p>
          <w:p w14:paraId="4039AE74" w14:textId="77777777" w:rsidR="00533A9C" w:rsidRPr="00E775A2" w:rsidRDefault="00533A9C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Chemioradioterapia:</w:t>
            </w:r>
          </w:p>
          <w:p w14:paraId="7FE6792B" w14:textId="77777777" w:rsidR="00533A9C" w:rsidRPr="00E775A2" w:rsidRDefault="00533A9C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 xml:space="preserve">5 cykli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cisplatyny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40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>. + radioterapia wiązkami zewnętrznymi (EBRT), a następnie brachyterapia.</w:t>
            </w:r>
          </w:p>
          <w:p w14:paraId="47C36F71" w14:textId="77777777" w:rsidR="00533A9C" w:rsidRPr="00E775A2" w:rsidRDefault="00533A9C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 xml:space="preserve">W uzasadnionych przypadkach istnieje możliwość podania jednego dodatkowego cyklu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cisplatyny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– do decyzji lekarza prowadzącego.</w:t>
            </w:r>
          </w:p>
          <w:p w14:paraId="06F0985A" w14:textId="77777777" w:rsidR="009A57D8" w:rsidRPr="00E775A2" w:rsidRDefault="009A57D8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67728E" w14:textId="3711F609" w:rsidR="00BD5D4F" w:rsidRPr="00E775A2" w:rsidRDefault="00BD5D4F" w:rsidP="009A57D8">
            <w:pPr>
              <w:pStyle w:val="Akapitzlist"/>
              <w:numPr>
                <w:ilvl w:val="1"/>
                <w:numId w:val="37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Leczenie przetrwałego, nawrotowego lub przerzutowego raka szyjki macicy dostępna dostępne są terapie:</w:t>
            </w:r>
          </w:p>
          <w:p w14:paraId="0EAC208E" w14:textId="35DEF4F0" w:rsidR="0026577B" w:rsidRPr="00E775A2" w:rsidRDefault="008D5A68" w:rsidP="009A57D8">
            <w:pPr>
              <w:pStyle w:val="Akapitzlist"/>
              <w:numPr>
                <w:ilvl w:val="2"/>
                <w:numId w:val="37"/>
              </w:numPr>
              <w:spacing w:after="60"/>
              <w:ind w:left="505" w:hanging="505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9D7852" w:rsidRPr="00E775A2">
              <w:rPr>
                <w:rFonts w:ascii="Times New Roman" w:hAnsi="Times New Roman"/>
                <w:b/>
                <w:sz w:val="20"/>
                <w:szCs w:val="20"/>
              </w:rPr>
              <w:t>embrolizumab</w:t>
            </w:r>
            <w:r w:rsidR="00533A9C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w skojarzeniu z chemioterapią, z bewacyzumabem lub bez bewacyzumabu </w:t>
            </w:r>
          </w:p>
          <w:p w14:paraId="39735563" w14:textId="766BD38B" w:rsidR="0026577B" w:rsidRPr="00E775A2" w:rsidRDefault="0026577B" w:rsidP="009A57D8">
            <w:pPr>
              <w:pStyle w:val="NormalnyWeb"/>
              <w:spacing w:before="0" w:beforeAutospacing="0" w:after="60" w:afterAutospacing="0" w:line="276" w:lineRule="auto"/>
              <w:jc w:val="both"/>
              <w:rPr>
                <w:bCs/>
                <w:sz w:val="20"/>
                <w:szCs w:val="20"/>
              </w:rPr>
            </w:pPr>
            <w:r w:rsidRPr="00E775A2">
              <w:rPr>
                <w:bCs/>
                <w:sz w:val="20"/>
                <w:szCs w:val="20"/>
              </w:rPr>
              <w:t xml:space="preserve">Pembrolizumab stosowany w skojarzeniu z </w:t>
            </w:r>
            <w:proofErr w:type="spellStart"/>
            <w:r w:rsidRPr="00E775A2">
              <w:rPr>
                <w:bCs/>
                <w:sz w:val="20"/>
                <w:szCs w:val="20"/>
              </w:rPr>
              <w:t>paklitakselem</w:t>
            </w:r>
            <w:proofErr w:type="spellEnd"/>
            <w:r w:rsidRPr="00E775A2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E775A2">
              <w:rPr>
                <w:bCs/>
                <w:sz w:val="20"/>
                <w:szCs w:val="20"/>
              </w:rPr>
              <w:t>cisplatyną</w:t>
            </w:r>
            <w:proofErr w:type="spellEnd"/>
            <w:r w:rsidRPr="00E775A2">
              <w:rPr>
                <w:bCs/>
                <w:sz w:val="20"/>
                <w:szCs w:val="20"/>
              </w:rPr>
              <w:t xml:space="preserve"> lub z </w:t>
            </w:r>
            <w:proofErr w:type="spellStart"/>
            <w:r w:rsidRPr="00E775A2">
              <w:rPr>
                <w:bCs/>
                <w:sz w:val="20"/>
                <w:szCs w:val="20"/>
              </w:rPr>
              <w:t>paklitakselem</w:t>
            </w:r>
            <w:proofErr w:type="spellEnd"/>
            <w:r w:rsidRPr="00E775A2">
              <w:rPr>
                <w:bCs/>
                <w:sz w:val="20"/>
                <w:szCs w:val="20"/>
              </w:rPr>
              <w:t xml:space="preserve"> i karboplatyną, z bewacyzumabem lub bez bewacyzumabu</w:t>
            </w:r>
            <w:r w:rsidR="00315584" w:rsidRPr="00E775A2">
              <w:rPr>
                <w:bCs/>
                <w:sz w:val="20"/>
                <w:szCs w:val="20"/>
              </w:rPr>
              <w:t>.</w:t>
            </w:r>
          </w:p>
          <w:p w14:paraId="7982CDDB" w14:textId="77777777" w:rsidR="0026577B" w:rsidRPr="00E775A2" w:rsidRDefault="009D7852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Zalecana dawka pembrolizumabu</w:t>
            </w:r>
            <w:r w:rsidR="0026577B" w:rsidRPr="00E775A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0F4186C8" w14:textId="2BC9D87C" w:rsidR="009D7852" w:rsidRPr="00E775A2" w:rsidRDefault="009D7852" w:rsidP="009A57D8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Cs/>
                <w:sz w:val="20"/>
                <w:szCs w:val="20"/>
              </w:rPr>
              <w:t>200 mg co 3 tygodnie lub 400 mg co 6 tygodni.</w:t>
            </w:r>
          </w:p>
          <w:p w14:paraId="5FDC4D2B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Chemioterapia:</w:t>
            </w:r>
          </w:p>
          <w:p w14:paraId="21895266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2ADC7C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3595B31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.+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bewacyzumab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15 mg/kg mc.,</w:t>
            </w:r>
          </w:p>
          <w:p w14:paraId="160C079F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68D27AA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5 mg/ml/min.,</w:t>
            </w:r>
          </w:p>
          <w:p w14:paraId="50379AD8" w14:textId="3F6A767A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lastRenderedPageBreak/>
              <w:t>albo</w:t>
            </w:r>
          </w:p>
          <w:p w14:paraId="4D730CB1" w14:textId="4138A1E1" w:rsidR="007F100A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E775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5 mg/ml/min + bewacyzumab w dawce 15 mg/kg mc.</w:t>
            </w:r>
          </w:p>
          <w:p w14:paraId="520C370D" w14:textId="77777777" w:rsidR="00262DB7" w:rsidRPr="00E775A2" w:rsidRDefault="00262DB7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45DB4A1" w14:textId="02259CE9" w:rsidR="00804900" w:rsidRPr="00E775A2" w:rsidRDefault="007F100A" w:rsidP="009A57D8">
            <w:pPr>
              <w:pStyle w:val="Akapitzlist"/>
              <w:numPr>
                <w:ilvl w:val="2"/>
                <w:numId w:val="37"/>
              </w:numPr>
              <w:spacing w:after="60"/>
              <w:ind w:left="505" w:hanging="505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Cemiplimab</w:t>
            </w:r>
            <w:r w:rsidR="00533A9C"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 w </w:t>
            </w:r>
            <w:r w:rsidR="008D5A68" w:rsidRPr="00E775A2">
              <w:rPr>
                <w:rFonts w:ascii="Times New Roman" w:hAnsi="Times New Roman"/>
                <w:b/>
                <w:sz w:val="20"/>
                <w:szCs w:val="20"/>
              </w:rPr>
              <w:t>monoterapii</w:t>
            </w:r>
          </w:p>
          <w:p w14:paraId="5667BA07" w14:textId="6814C0C3" w:rsidR="007F100A" w:rsidRPr="00E775A2" w:rsidRDefault="007F100A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 xml:space="preserve">Zalecana dawka </w:t>
            </w:r>
            <w:proofErr w:type="spellStart"/>
            <w:r w:rsidRPr="00E775A2">
              <w:rPr>
                <w:rFonts w:ascii="Times New Roman" w:hAnsi="Times New Roman"/>
                <w:sz w:val="20"/>
                <w:szCs w:val="20"/>
              </w:rPr>
              <w:t>cemiplimabu</w:t>
            </w:r>
            <w:proofErr w:type="spellEnd"/>
            <w:r w:rsidRPr="00E775A2">
              <w:rPr>
                <w:rFonts w:ascii="Times New Roman" w:hAnsi="Times New Roman"/>
                <w:sz w:val="20"/>
                <w:szCs w:val="20"/>
              </w:rPr>
              <w:t xml:space="preserve"> wynosi 350 mg co 3 tygodnie (Q3W), podawana we wlewie dożylnym przez 30 minut.</w:t>
            </w:r>
            <w:r w:rsidR="00533A9C" w:rsidRPr="00E77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4FD200" w14:textId="77777777" w:rsidR="007F100A" w:rsidRPr="00E775A2" w:rsidRDefault="007F100A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35E54A" w14:textId="623483C9" w:rsidR="00804900" w:rsidRPr="00E775A2" w:rsidRDefault="00804900" w:rsidP="009A57D8">
            <w:pPr>
              <w:pStyle w:val="Akapitzlist"/>
              <w:numPr>
                <w:ilvl w:val="0"/>
                <w:numId w:val="1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Modyfikacja dawkowania leków</w:t>
            </w:r>
          </w:p>
          <w:p w14:paraId="21A75909" w14:textId="7EA9F8BC" w:rsidR="009D7852" w:rsidRPr="00E775A2" w:rsidRDefault="00804900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5A2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</w:tcPr>
          <w:p w14:paraId="2C0F711B" w14:textId="77777777" w:rsidR="009D7852" w:rsidRPr="00E775A2" w:rsidRDefault="009D7852" w:rsidP="009A57D8">
            <w:pPr>
              <w:pStyle w:val="Akapitzlist"/>
              <w:numPr>
                <w:ilvl w:val="0"/>
                <w:numId w:val="9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6772F38B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 potwierdzenie określonego typu raka szyjki macicy;</w:t>
            </w:r>
          </w:p>
          <w:p w14:paraId="3FF61A6D" w14:textId="2840B9BB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potwierdzenie zwalidowanym testem ekspresji PD-L1 wg CPS (</w:t>
            </w:r>
            <w:r w:rsidR="004D47EB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leczenia </w:t>
            </w:r>
            <w:r w:rsidR="00B23B9F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r w:rsidR="004D47EB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A5984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przetrwałego, nawrotowego lub przerzutowego raka szyjki macicy</w:t>
            </w:r>
            <w:r w:rsidR="004D47EB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F27CF9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F6095E5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17636B47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kreatyniny i </w:t>
            </w:r>
            <w:proofErr w:type="spellStart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5C174AA6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0497A391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86A9C4F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całkowitej;</w:t>
            </w:r>
          </w:p>
          <w:p w14:paraId="3CFB6A1A" w14:textId="25224634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lub czasu </w:t>
            </w:r>
            <w:proofErr w:type="spellStart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bew</w:t>
            </w:r>
            <w:r w:rsidR="003C0679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cyzumabem);</w:t>
            </w:r>
          </w:p>
          <w:p w14:paraId="14223466" w14:textId="7A256075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czasu częściowej tromboplastyny lub czasu częściowej tromboplastyny po aktywacji (w przypadku leczenia skojarzonego z </w:t>
            </w:r>
            <w:proofErr w:type="spellStart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</w:t>
            </w:r>
            <w:r w:rsidR="003C0679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cyzumabem</w:t>
            </w:r>
            <w:proofErr w:type="spellEnd"/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7F40F56F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7A148EFE" w14:textId="1949F0A5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ogólne moczu;</w:t>
            </w:r>
          </w:p>
          <w:p w14:paraId="01BEA73B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 ciążowy (u kobiet w wieku rozrodczym);</w:t>
            </w:r>
          </w:p>
          <w:p w14:paraId="0A2226C7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 (EKG);</w:t>
            </w:r>
          </w:p>
          <w:p w14:paraId="5B365771" w14:textId="28C269DC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ciśnienia tętniczego</w:t>
            </w:r>
            <w:r w:rsidR="000A5984" w:rsidRPr="006E7AE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A5984"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leczenia pembrolizumabem przetrwałego, nawrotowego lub przerzutowego raka szyjki macicy)</w:t>
            </w: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EC56EE5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obrazowe (tomografia komputerowa klatki piersiowej, jamy brzusznej i miednicy lub inne badanie w zależności od sytuacji klinicznej);</w:t>
            </w:r>
          </w:p>
          <w:p w14:paraId="073C247B" w14:textId="77777777" w:rsidR="009D7852" w:rsidRPr="006E7AE5" w:rsidRDefault="009D7852" w:rsidP="009A57D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E7A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29503BA1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0C6B21" w14:textId="77777777" w:rsidR="009D7852" w:rsidRPr="00E775A2" w:rsidRDefault="009D7852" w:rsidP="009A57D8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Wstępne badania obrazowe muszą umożliwić późniejszą obiektywną ocenę odpowiedzi na leczenie wg aktualnych kryteriów RECIST.</w:t>
            </w:r>
          </w:p>
          <w:p w14:paraId="25768A16" w14:textId="77777777" w:rsidR="009D7852" w:rsidRPr="00E775A2" w:rsidRDefault="009D7852" w:rsidP="009A57D8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9C3134" w14:textId="77777777" w:rsidR="009D7852" w:rsidRPr="00E775A2" w:rsidRDefault="009D7852" w:rsidP="009A57D8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Monitorowanie leczenia </w:t>
            </w:r>
          </w:p>
          <w:p w14:paraId="36186F1C" w14:textId="77777777" w:rsidR="009D7852" w:rsidRPr="00E775A2" w:rsidRDefault="009D7852" w:rsidP="009A57D8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Monitorowanie bezpieczeństwa</w:t>
            </w:r>
          </w:p>
          <w:p w14:paraId="626B4921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48E16D86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kreatyniny i 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0B339529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54EDF373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7A16D66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całkowitej;</w:t>
            </w:r>
          </w:p>
          <w:p w14:paraId="16EECE1B" w14:textId="49EFB503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i czasu </w:t>
            </w:r>
            <w:proofErr w:type="spellStart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</w:t>
            </w:r>
            <w:r w:rsidR="000A5984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bewacyzumabem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265926F" w14:textId="337C9558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czasu częściowej tromboplastyny po aktywacji (w przypadku leczenia skojarzonego z bew</w:t>
            </w:r>
            <w:r w:rsidR="000A5984"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cyzumabem);</w:t>
            </w:r>
          </w:p>
          <w:p w14:paraId="6DAFA81A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06D0F059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 ogólne moczu;</w:t>
            </w:r>
          </w:p>
          <w:p w14:paraId="18A14666" w14:textId="77777777" w:rsidR="009D7852" w:rsidRPr="00E775A2" w:rsidRDefault="009D7852" w:rsidP="009A57D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7E167624" w14:textId="77777777" w:rsidR="009D7852" w:rsidRPr="00E775A2" w:rsidRDefault="009D7852" w:rsidP="009A57D8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wykonuje się przed rozpoczęciem każdego kolejnego cyklu terapii.</w:t>
            </w:r>
          </w:p>
          <w:p w14:paraId="3EBF4108" w14:textId="77777777" w:rsidR="009D7852" w:rsidRPr="00E775A2" w:rsidRDefault="009D7852" w:rsidP="009A57D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A2EB6C8" w14:textId="77777777" w:rsidR="009D7852" w:rsidRPr="00E775A2" w:rsidRDefault="009D7852" w:rsidP="009A57D8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 xml:space="preserve">Monitorowanie skuteczności </w:t>
            </w:r>
          </w:p>
          <w:p w14:paraId="7D26FF8D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celu monitorowania skuteczności leczenia wykonywane są badania obrazowe konieczne do oceny zmian według aktualnie obowiązujących kryteriów RECIST: tomografia komputerowa klatki piersiowej, jamy brzusznej i miednicy lub inne w zależności od sytuacji klinicznej.</w:t>
            </w:r>
          </w:p>
          <w:p w14:paraId="5C26CFD0" w14:textId="77777777" w:rsidR="009D7852" w:rsidRPr="00E775A2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Określenie odpowiedzi na leczenie powinno być wykonywane z wykorzystaniem metody identycznej do wykorzystanej podczas kwalifikowania do leczenia.</w:t>
            </w:r>
          </w:p>
          <w:p w14:paraId="57FF47B0" w14:textId="77777777" w:rsidR="009D7852" w:rsidRPr="00E775A2" w:rsidRDefault="009D7852" w:rsidP="009A57D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należy wykonywać co 12 tygodni lub częściej w zależności od sytuacji klinicznej.</w:t>
            </w:r>
          </w:p>
          <w:p w14:paraId="699B2813" w14:textId="77777777" w:rsidR="00B866CF" w:rsidRPr="00E775A2" w:rsidRDefault="00B866CF" w:rsidP="009A57D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76DFEB4" w14:textId="77777777" w:rsidR="009D7852" w:rsidRPr="00E775A2" w:rsidRDefault="009D7852" w:rsidP="009A57D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51D14270" w14:textId="790822E0" w:rsidR="009D7852" w:rsidRPr="00E775A2" w:rsidRDefault="009D7852" w:rsidP="009A57D8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całkowitą (CR) lub częściową odpowiedź (PR) na leczenie,</w:t>
            </w:r>
          </w:p>
          <w:p w14:paraId="63EEB70D" w14:textId="7D87318E" w:rsidR="009D7852" w:rsidRPr="00E775A2" w:rsidRDefault="009D7852" w:rsidP="009A57D8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 (SD) lub progresję choroby (PD),</w:t>
            </w:r>
          </w:p>
          <w:p w14:paraId="57F14AEF" w14:textId="2C960FCE" w:rsidR="009D7852" w:rsidRPr="00E775A2" w:rsidRDefault="009D7852" w:rsidP="009A57D8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 przeżycie (OS) i czas do progresji (PFS).</w:t>
            </w:r>
          </w:p>
          <w:p w14:paraId="5ED48B2A" w14:textId="77777777" w:rsidR="009D7852" w:rsidRPr="00E775A2" w:rsidRDefault="009D7852" w:rsidP="009A57D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AEBAA05" w14:textId="77777777" w:rsidR="009D7852" w:rsidRPr="00E775A2" w:rsidRDefault="009D7852" w:rsidP="009A57D8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75A2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5DE63A89" w14:textId="77777777" w:rsidR="009D7852" w:rsidRPr="00E775A2" w:rsidRDefault="009D7852" w:rsidP="009A57D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46086DD" w14:textId="77777777" w:rsidR="009D7852" w:rsidRPr="00E775A2" w:rsidRDefault="009D7852" w:rsidP="009A57D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6622B81B" w14:textId="77777777" w:rsidR="009D7852" w:rsidRPr="00E775A2" w:rsidRDefault="009D7852" w:rsidP="009A57D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75A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5CFDCC42" w14:textId="77777777" w:rsidR="009D7852" w:rsidRPr="00CC1C9F" w:rsidRDefault="009D7852" w:rsidP="009A57D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A8EAAE3" w14:textId="77777777" w:rsidR="009D7852" w:rsidRPr="00CC1C9F" w:rsidRDefault="009D7852" w:rsidP="009A57D8">
      <w:pPr>
        <w:jc w:val="both"/>
        <w:rPr>
          <w:sz w:val="2"/>
          <w:szCs w:val="2"/>
        </w:rPr>
      </w:pPr>
    </w:p>
    <w:p w14:paraId="620C1083" w14:textId="1FCD7BD3" w:rsidR="004D6900" w:rsidRPr="00CC1C9F" w:rsidRDefault="004D6900" w:rsidP="009A57D8">
      <w:pPr>
        <w:jc w:val="both"/>
      </w:pPr>
    </w:p>
    <w:sectPr w:rsidR="004D6900" w:rsidRPr="00CC1C9F" w:rsidSect="002B3E91">
      <w:footerReference w:type="even" r:id="rId8"/>
      <w:footerReference w:type="default" r:id="rId9"/>
      <w:footerReference w:type="first" r:id="rId10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E06E" w14:textId="77777777" w:rsidR="00A93950" w:rsidRDefault="00A93950">
      <w:pPr>
        <w:spacing w:after="0" w:line="240" w:lineRule="auto"/>
      </w:pPr>
      <w:r>
        <w:separator/>
      </w:r>
    </w:p>
  </w:endnote>
  <w:endnote w:type="continuationSeparator" w:id="0">
    <w:p w14:paraId="4FD2CFCD" w14:textId="77777777" w:rsidR="00A93950" w:rsidRDefault="00A9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8B50" w14:textId="77777777" w:rsidR="004D6900" w:rsidRDefault="002B3E9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AC481F6" w14:textId="77777777" w:rsidR="004D6900" w:rsidRDefault="004D69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EA1D3" w14:textId="2A254ABA" w:rsidR="004D6900" w:rsidRDefault="002B3E91" w:rsidP="002B3E91">
    <w:pPr>
      <w:pStyle w:val="Stopka"/>
      <w:tabs>
        <w:tab w:val="clear" w:pos="4536"/>
        <w:tab w:val="left" w:pos="5954"/>
        <w:tab w:val="center" w:pos="7699"/>
        <w:tab w:val="left" w:pos="8280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ab/>
    </w:r>
    <w:r>
      <w:rPr>
        <w:rFonts w:ascii="Lato" w:hAnsi="Lato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5E76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E52A0E" wp14:editId="178B4DF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D45DDD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FB9A438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FDDD089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B95E998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1FB42" w14:textId="77777777" w:rsidR="00A93950" w:rsidRDefault="00A93950">
      <w:pPr>
        <w:spacing w:after="0" w:line="240" w:lineRule="auto"/>
      </w:pPr>
      <w:r>
        <w:separator/>
      </w:r>
    </w:p>
  </w:footnote>
  <w:footnote w:type="continuationSeparator" w:id="0">
    <w:p w14:paraId="47162814" w14:textId="77777777" w:rsidR="00A93950" w:rsidRDefault="00A93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961"/>
    <w:multiLevelType w:val="hybridMultilevel"/>
    <w:tmpl w:val="B328AE00"/>
    <w:lvl w:ilvl="0" w:tplc="D708DBB6">
      <w:start w:val="1"/>
      <w:numFmt w:val="decimal"/>
      <w:lvlText w:val="%1)"/>
      <w:lvlJc w:val="left"/>
      <w:pPr>
        <w:ind w:left="1020" w:hanging="360"/>
      </w:pPr>
    </w:lvl>
    <w:lvl w:ilvl="1" w:tplc="537C1F5C">
      <w:start w:val="1"/>
      <w:numFmt w:val="decimal"/>
      <w:lvlText w:val="%2)"/>
      <w:lvlJc w:val="left"/>
      <w:pPr>
        <w:ind w:left="1020" w:hanging="360"/>
      </w:pPr>
    </w:lvl>
    <w:lvl w:ilvl="2" w:tplc="73923840">
      <w:start w:val="1"/>
      <w:numFmt w:val="decimal"/>
      <w:lvlText w:val="%3)"/>
      <w:lvlJc w:val="left"/>
      <w:pPr>
        <w:ind w:left="1020" w:hanging="360"/>
      </w:pPr>
    </w:lvl>
    <w:lvl w:ilvl="3" w:tplc="44F86290">
      <w:start w:val="1"/>
      <w:numFmt w:val="decimal"/>
      <w:lvlText w:val="%4)"/>
      <w:lvlJc w:val="left"/>
      <w:pPr>
        <w:ind w:left="1020" w:hanging="360"/>
      </w:pPr>
    </w:lvl>
    <w:lvl w:ilvl="4" w:tplc="BA78477C">
      <w:start w:val="1"/>
      <w:numFmt w:val="decimal"/>
      <w:lvlText w:val="%5)"/>
      <w:lvlJc w:val="left"/>
      <w:pPr>
        <w:ind w:left="1020" w:hanging="360"/>
      </w:pPr>
    </w:lvl>
    <w:lvl w:ilvl="5" w:tplc="DDDA985E">
      <w:start w:val="1"/>
      <w:numFmt w:val="decimal"/>
      <w:lvlText w:val="%6)"/>
      <w:lvlJc w:val="left"/>
      <w:pPr>
        <w:ind w:left="1020" w:hanging="360"/>
      </w:pPr>
    </w:lvl>
    <w:lvl w:ilvl="6" w:tplc="C3AA0490">
      <w:start w:val="1"/>
      <w:numFmt w:val="decimal"/>
      <w:lvlText w:val="%7)"/>
      <w:lvlJc w:val="left"/>
      <w:pPr>
        <w:ind w:left="1020" w:hanging="360"/>
      </w:pPr>
    </w:lvl>
    <w:lvl w:ilvl="7" w:tplc="5BA663F8">
      <w:start w:val="1"/>
      <w:numFmt w:val="decimal"/>
      <w:lvlText w:val="%8)"/>
      <w:lvlJc w:val="left"/>
      <w:pPr>
        <w:ind w:left="1020" w:hanging="360"/>
      </w:pPr>
    </w:lvl>
    <w:lvl w:ilvl="8" w:tplc="931AF28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79D3"/>
    <w:multiLevelType w:val="multilevel"/>
    <w:tmpl w:val="C93A53A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ACE3A26"/>
    <w:multiLevelType w:val="multilevel"/>
    <w:tmpl w:val="3F921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D8523B"/>
    <w:multiLevelType w:val="hybridMultilevel"/>
    <w:tmpl w:val="557E1F6A"/>
    <w:lvl w:ilvl="0" w:tplc="FFFFFFFF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74672"/>
    <w:multiLevelType w:val="hybridMultilevel"/>
    <w:tmpl w:val="A63E302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33475D1"/>
    <w:multiLevelType w:val="hybridMultilevel"/>
    <w:tmpl w:val="891C7044"/>
    <w:lvl w:ilvl="0" w:tplc="247C0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563CE"/>
    <w:multiLevelType w:val="hybridMultilevel"/>
    <w:tmpl w:val="34D2DD18"/>
    <w:lvl w:ilvl="0" w:tplc="7F8C88AE">
      <w:start w:val="1"/>
      <w:numFmt w:val="decimal"/>
      <w:lvlText w:val="%1)"/>
      <w:lvlJc w:val="left"/>
      <w:pPr>
        <w:ind w:left="1020" w:hanging="360"/>
      </w:pPr>
    </w:lvl>
    <w:lvl w:ilvl="1" w:tplc="F562386A">
      <w:start w:val="1"/>
      <w:numFmt w:val="decimal"/>
      <w:lvlText w:val="%2)"/>
      <w:lvlJc w:val="left"/>
      <w:pPr>
        <w:ind w:left="1020" w:hanging="360"/>
      </w:pPr>
    </w:lvl>
    <w:lvl w:ilvl="2" w:tplc="AE2C40F0">
      <w:start w:val="1"/>
      <w:numFmt w:val="decimal"/>
      <w:lvlText w:val="%3)"/>
      <w:lvlJc w:val="left"/>
      <w:pPr>
        <w:ind w:left="1020" w:hanging="360"/>
      </w:pPr>
    </w:lvl>
    <w:lvl w:ilvl="3" w:tplc="9F368A7C">
      <w:start w:val="1"/>
      <w:numFmt w:val="decimal"/>
      <w:lvlText w:val="%4)"/>
      <w:lvlJc w:val="left"/>
      <w:pPr>
        <w:ind w:left="1020" w:hanging="360"/>
      </w:pPr>
    </w:lvl>
    <w:lvl w:ilvl="4" w:tplc="27BA6B68">
      <w:start w:val="1"/>
      <w:numFmt w:val="decimal"/>
      <w:lvlText w:val="%5)"/>
      <w:lvlJc w:val="left"/>
      <w:pPr>
        <w:ind w:left="1020" w:hanging="360"/>
      </w:pPr>
    </w:lvl>
    <w:lvl w:ilvl="5" w:tplc="EF0C3620">
      <w:start w:val="1"/>
      <w:numFmt w:val="decimal"/>
      <w:lvlText w:val="%6)"/>
      <w:lvlJc w:val="left"/>
      <w:pPr>
        <w:ind w:left="1020" w:hanging="360"/>
      </w:pPr>
    </w:lvl>
    <w:lvl w:ilvl="6" w:tplc="CFFEBF62">
      <w:start w:val="1"/>
      <w:numFmt w:val="decimal"/>
      <w:lvlText w:val="%7)"/>
      <w:lvlJc w:val="left"/>
      <w:pPr>
        <w:ind w:left="1020" w:hanging="360"/>
      </w:pPr>
    </w:lvl>
    <w:lvl w:ilvl="7" w:tplc="890E6C1C">
      <w:start w:val="1"/>
      <w:numFmt w:val="decimal"/>
      <w:lvlText w:val="%8)"/>
      <w:lvlJc w:val="left"/>
      <w:pPr>
        <w:ind w:left="1020" w:hanging="360"/>
      </w:pPr>
    </w:lvl>
    <w:lvl w:ilvl="8" w:tplc="0CBA87AC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23A809EA"/>
    <w:multiLevelType w:val="multilevel"/>
    <w:tmpl w:val="A9AA8E64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210C92"/>
    <w:multiLevelType w:val="hybridMultilevel"/>
    <w:tmpl w:val="B4E08A1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393AC2F0">
      <w:start w:val="1"/>
      <w:numFmt w:val="lowerLetter"/>
      <w:suff w:val="space"/>
      <w:lvlText w:val="%2)"/>
      <w:lvlJc w:val="left"/>
      <w:pPr>
        <w:ind w:left="227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2C2719FB"/>
    <w:multiLevelType w:val="multilevel"/>
    <w:tmpl w:val="3F921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381923"/>
    <w:multiLevelType w:val="hybridMultilevel"/>
    <w:tmpl w:val="CFCA1B3C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3661BA6"/>
    <w:multiLevelType w:val="multilevel"/>
    <w:tmpl w:val="5DC6F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7F23FE"/>
    <w:multiLevelType w:val="hybridMultilevel"/>
    <w:tmpl w:val="3E327BA8"/>
    <w:lvl w:ilvl="0" w:tplc="41BA0F9A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A800771"/>
    <w:multiLevelType w:val="hybridMultilevel"/>
    <w:tmpl w:val="5004343C"/>
    <w:lvl w:ilvl="0" w:tplc="490A7992">
      <w:start w:val="1"/>
      <w:numFmt w:val="decimal"/>
      <w:lvlText w:val="%1)"/>
      <w:lvlJc w:val="left"/>
      <w:pPr>
        <w:ind w:left="1020" w:hanging="360"/>
      </w:pPr>
    </w:lvl>
    <w:lvl w:ilvl="1" w:tplc="6756AB28">
      <w:start w:val="1"/>
      <w:numFmt w:val="decimal"/>
      <w:lvlText w:val="%2)"/>
      <w:lvlJc w:val="left"/>
      <w:pPr>
        <w:ind w:left="1020" w:hanging="360"/>
      </w:pPr>
    </w:lvl>
    <w:lvl w:ilvl="2" w:tplc="C2968A44">
      <w:start w:val="1"/>
      <w:numFmt w:val="decimal"/>
      <w:lvlText w:val="%3)"/>
      <w:lvlJc w:val="left"/>
      <w:pPr>
        <w:ind w:left="1020" w:hanging="360"/>
      </w:pPr>
    </w:lvl>
    <w:lvl w:ilvl="3" w:tplc="CBF04780">
      <w:start w:val="1"/>
      <w:numFmt w:val="decimal"/>
      <w:lvlText w:val="%4)"/>
      <w:lvlJc w:val="left"/>
      <w:pPr>
        <w:ind w:left="1020" w:hanging="360"/>
      </w:pPr>
    </w:lvl>
    <w:lvl w:ilvl="4" w:tplc="6F86C852">
      <w:start w:val="1"/>
      <w:numFmt w:val="decimal"/>
      <w:lvlText w:val="%5)"/>
      <w:lvlJc w:val="left"/>
      <w:pPr>
        <w:ind w:left="1020" w:hanging="360"/>
      </w:pPr>
    </w:lvl>
    <w:lvl w:ilvl="5" w:tplc="7960CFF8">
      <w:start w:val="1"/>
      <w:numFmt w:val="decimal"/>
      <w:lvlText w:val="%6)"/>
      <w:lvlJc w:val="left"/>
      <w:pPr>
        <w:ind w:left="1020" w:hanging="360"/>
      </w:pPr>
    </w:lvl>
    <w:lvl w:ilvl="6" w:tplc="F2DCA632">
      <w:start w:val="1"/>
      <w:numFmt w:val="decimal"/>
      <w:lvlText w:val="%7)"/>
      <w:lvlJc w:val="left"/>
      <w:pPr>
        <w:ind w:left="1020" w:hanging="360"/>
      </w:pPr>
    </w:lvl>
    <w:lvl w:ilvl="7" w:tplc="7D28DBDA">
      <w:start w:val="1"/>
      <w:numFmt w:val="decimal"/>
      <w:lvlText w:val="%8)"/>
      <w:lvlJc w:val="left"/>
      <w:pPr>
        <w:ind w:left="1020" w:hanging="360"/>
      </w:pPr>
    </w:lvl>
    <w:lvl w:ilvl="8" w:tplc="FAE60938">
      <w:start w:val="1"/>
      <w:numFmt w:val="decimal"/>
      <w:lvlText w:val="%9)"/>
      <w:lvlJc w:val="left"/>
      <w:pPr>
        <w:ind w:left="1020" w:hanging="360"/>
      </w:pPr>
    </w:lvl>
  </w:abstractNum>
  <w:abstractNum w:abstractNumId="18" w15:restartNumberingAfterBreak="0">
    <w:nsid w:val="3C40131E"/>
    <w:multiLevelType w:val="hybridMultilevel"/>
    <w:tmpl w:val="72DA83C2"/>
    <w:lvl w:ilvl="0" w:tplc="F9EEC6A6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90CF1"/>
    <w:multiLevelType w:val="hybridMultilevel"/>
    <w:tmpl w:val="3E327BA8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46802A6"/>
    <w:multiLevelType w:val="multilevel"/>
    <w:tmpl w:val="A9AA8E64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1A693B"/>
    <w:multiLevelType w:val="hybridMultilevel"/>
    <w:tmpl w:val="8A16FD36"/>
    <w:lvl w:ilvl="0" w:tplc="F4FE723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C771DE"/>
    <w:multiLevelType w:val="hybridMultilevel"/>
    <w:tmpl w:val="60D4FF24"/>
    <w:lvl w:ilvl="0" w:tplc="B4FA7A7A">
      <w:start w:val="1"/>
      <w:numFmt w:val="decimal"/>
      <w:lvlText w:val="%1)"/>
      <w:lvlJc w:val="left"/>
      <w:pPr>
        <w:ind w:left="720" w:hanging="360"/>
      </w:pPr>
    </w:lvl>
    <w:lvl w:ilvl="1" w:tplc="3A38EA96">
      <w:start w:val="1"/>
      <w:numFmt w:val="decimal"/>
      <w:lvlText w:val="%2)"/>
      <w:lvlJc w:val="left"/>
      <w:pPr>
        <w:ind w:left="720" w:hanging="360"/>
      </w:pPr>
    </w:lvl>
    <w:lvl w:ilvl="2" w:tplc="4538F7FA">
      <w:start w:val="1"/>
      <w:numFmt w:val="decimal"/>
      <w:lvlText w:val="%3)"/>
      <w:lvlJc w:val="left"/>
      <w:pPr>
        <w:ind w:left="720" w:hanging="360"/>
      </w:pPr>
    </w:lvl>
    <w:lvl w:ilvl="3" w:tplc="CA943C44">
      <w:start w:val="1"/>
      <w:numFmt w:val="decimal"/>
      <w:lvlText w:val="%4)"/>
      <w:lvlJc w:val="left"/>
      <w:pPr>
        <w:ind w:left="720" w:hanging="360"/>
      </w:pPr>
    </w:lvl>
    <w:lvl w:ilvl="4" w:tplc="68FA964E">
      <w:start w:val="1"/>
      <w:numFmt w:val="decimal"/>
      <w:lvlText w:val="%5)"/>
      <w:lvlJc w:val="left"/>
      <w:pPr>
        <w:ind w:left="720" w:hanging="360"/>
      </w:pPr>
    </w:lvl>
    <w:lvl w:ilvl="5" w:tplc="AC3035AE">
      <w:start w:val="1"/>
      <w:numFmt w:val="decimal"/>
      <w:lvlText w:val="%6)"/>
      <w:lvlJc w:val="left"/>
      <w:pPr>
        <w:ind w:left="720" w:hanging="360"/>
      </w:pPr>
    </w:lvl>
    <w:lvl w:ilvl="6" w:tplc="DE9E045E">
      <w:start w:val="1"/>
      <w:numFmt w:val="decimal"/>
      <w:lvlText w:val="%7)"/>
      <w:lvlJc w:val="left"/>
      <w:pPr>
        <w:ind w:left="720" w:hanging="360"/>
      </w:pPr>
    </w:lvl>
    <w:lvl w:ilvl="7" w:tplc="D41247D8">
      <w:start w:val="1"/>
      <w:numFmt w:val="decimal"/>
      <w:lvlText w:val="%8)"/>
      <w:lvlJc w:val="left"/>
      <w:pPr>
        <w:ind w:left="720" w:hanging="360"/>
      </w:pPr>
    </w:lvl>
    <w:lvl w:ilvl="8" w:tplc="A94A3090">
      <w:start w:val="1"/>
      <w:numFmt w:val="decimal"/>
      <w:lvlText w:val="%9)"/>
      <w:lvlJc w:val="left"/>
      <w:pPr>
        <w:ind w:left="720" w:hanging="360"/>
      </w:pPr>
    </w:lvl>
  </w:abstractNum>
  <w:abstractNum w:abstractNumId="23" w15:restartNumberingAfterBreak="0">
    <w:nsid w:val="50E36CD1"/>
    <w:multiLevelType w:val="hybridMultilevel"/>
    <w:tmpl w:val="3E327BA8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8754DEA"/>
    <w:multiLevelType w:val="hybridMultilevel"/>
    <w:tmpl w:val="3E327BA8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A650C7"/>
    <w:multiLevelType w:val="hybridMultilevel"/>
    <w:tmpl w:val="4BF8D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47DA4"/>
    <w:multiLevelType w:val="hybridMultilevel"/>
    <w:tmpl w:val="A76E9AFC"/>
    <w:lvl w:ilvl="0" w:tplc="60E6BC8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35743"/>
    <w:multiLevelType w:val="hybridMultilevel"/>
    <w:tmpl w:val="BD48F7FE"/>
    <w:lvl w:ilvl="0" w:tplc="96EE9F7E">
      <w:start w:val="2"/>
      <w:numFmt w:val="decimal"/>
      <w:suff w:val="space"/>
      <w:lvlText w:val="%1."/>
      <w:lvlJc w:val="left"/>
      <w:pPr>
        <w:ind w:left="43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62E2A"/>
    <w:multiLevelType w:val="multilevel"/>
    <w:tmpl w:val="3F921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EC5FB3"/>
    <w:multiLevelType w:val="hybridMultilevel"/>
    <w:tmpl w:val="557E1F6A"/>
    <w:lvl w:ilvl="0" w:tplc="FFFFFFFF">
      <w:start w:val="1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786474E"/>
    <w:multiLevelType w:val="hybridMultilevel"/>
    <w:tmpl w:val="E1004D8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A68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456EDA"/>
    <w:multiLevelType w:val="hybridMultilevel"/>
    <w:tmpl w:val="E79CFAF0"/>
    <w:lvl w:ilvl="0" w:tplc="76AAB1A2">
      <w:start w:val="1"/>
      <w:numFmt w:val="decimal"/>
      <w:lvlText w:val="%1)"/>
      <w:lvlJc w:val="left"/>
      <w:pPr>
        <w:ind w:left="1020" w:hanging="360"/>
      </w:pPr>
    </w:lvl>
    <w:lvl w:ilvl="1" w:tplc="1E561CA6">
      <w:start w:val="1"/>
      <w:numFmt w:val="decimal"/>
      <w:lvlText w:val="%2)"/>
      <w:lvlJc w:val="left"/>
      <w:pPr>
        <w:ind w:left="1020" w:hanging="360"/>
      </w:pPr>
    </w:lvl>
    <w:lvl w:ilvl="2" w:tplc="9708A3F4">
      <w:start w:val="1"/>
      <w:numFmt w:val="decimal"/>
      <w:lvlText w:val="%3)"/>
      <w:lvlJc w:val="left"/>
      <w:pPr>
        <w:ind w:left="1020" w:hanging="360"/>
      </w:pPr>
    </w:lvl>
    <w:lvl w:ilvl="3" w:tplc="3ED01D68">
      <w:start w:val="1"/>
      <w:numFmt w:val="decimal"/>
      <w:lvlText w:val="%4)"/>
      <w:lvlJc w:val="left"/>
      <w:pPr>
        <w:ind w:left="1020" w:hanging="360"/>
      </w:pPr>
    </w:lvl>
    <w:lvl w:ilvl="4" w:tplc="8BA4BC74">
      <w:start w:val="1"/>
      <w:numFmt w:val="decimal"/>
      <w:lvlText w:val="%5)"/>
      <w:lvlJc w:val="left"/>
      <w:pPr>
        <w:ind w:left="1020" w:hanging="360"/>
      </w:pPr>
    </w:lvl>
    <w:lvl w:ilvl="5" w:tplc="4E488C2C">
      <w:start w:val="1"/>
      <w:numFmt w:val="decimal"/>
      <w:lvlText w:val="%6)"/>
      <w:lvlJc w:val="left"/>
      <w:pPr>
        <w:ind w:left="1020" w:hanging="360"/>
      </w:pPr>
    </w:lvl>
    <w:lvl w:ilvl="6" w:tplc="FDBE028C">
      <w:start w:val="1"/>
      <w:numFmt w:val="decimal"/>
      <w:lvlText w:val="%7)"/>
      <w:lvlJc w:val="left"/>
      <w:pPr>
        <w:ind w:left="1020" w:hanging="360"/>
      </w:pPr>
    </w:lvl>
    <w:lvl w:ilvl="7" w:tplc="1BC0F1C4">
      <w:start w:val="1"/>
      <w:numFmt w:val="decimal"/>
      <w:lvlText w:val="%8)"/>
      <w:lvlJc w:val="left"/>
      <w:pPr>
        <w:ind w:left="1020" w:hanging="360"/>
      </w:pPr>
    </w:lvl>
    <w:lvl w:ilvl="8" w:tplc="B3CE5B60">
      <w:start w:val="1"/>
      <w:numFmt w:val="decimal"/>
      <w:lvlText w:val="%9)"/>
      <w:lvlJc w:val="left"/>
      <w:pPr>
        <w:ind w:left="1020" w:hanging="360"/>
      </w:pPr>
    </w:lvl>
  </w:abstractNum>
  <w:abstractNum w:abstractNumId="37" w15:restartNumberingAfterBreak="0">
    <w:nsid w:val="70FF3ED8"/>
    <w:multiLevelType w:val="hybridMultilevel"/>
    <w:tmpl w:val="76E23280"/>
    <w:lvl w:ilvl="0" w:tplc="D306363C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C734E"/>
    <w:multiLevelType w:val="multilevel"/>
    <w:tmpl w:val="EEF6ED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446581733">
    <w:abstractNumId w:val="16"/>
  </w:num>
  <w:num w:numId="2" w16cid:durableId="371543358">
    <w:abstractNumId w:val="3"/>
  </w:num>
  <w:num w:numId="3" w16cid:durableId="2140799903">
    <w:abstractNumId w:val="31"/>
  </w:num>
  <w:num w:numId="4" w16cid:durableId="396628954">
    <w:abstractNumId w:val="14"/>
  </w:num>
  <w:num w:numId="5" w16cid:durableId="1216161787">
    <w:abstractNumId w:val="24"/>
  </w:num>
  <w:num w:numId="6" w16cid:durableId="1924490631">
    <w:abstractNumId w:val="2"/>
  </w:num>
  <w:num w:numId="7" w16cid:durableId="1105808373">
    <w:abstractNumId w:val="33"/>
  </w:num>
  <w:num w:numId="8" w16cid:durableId="1215968222">
    <w:abstractNumId w:val="28"/>
  </w:num>
  <w:num w:numId="9" w16cid:durableId="295839827">
    <w:abstractNumId w:val="1"/>
  </w:num>
  <w:num w:numId="10" w16cid:durableId="679046014">
    <w:abstractNumId w:val="26"/>
  </w:num>
  <w:num w:numId="11" w16cid:durableId="1219440783">
    <w:abstractNumId w:val="7"/>
  </w:num>
  <w:num w:numId="12" w16cid:durableId="2012296243">
    <w:abstractNumId w:val="11"/>
  </w:num>
  <w:num w:numId="13" w16cid:durableId="1922640377">
    <w:abstractNumId w:val="29"/>
  </w:num>
  <w:num w:numId="14" w16cid:durableId="268464684">
    <w:abstractNumId w:val="30"/>
  </w:num>
  <w:num w:numId="15" w16cid:durableId="1367439148">
    <w:abstractNumId w:val="4"/>
  </w:num>
  <w:num w:numId="16" w16cid:durableId="305554574">
    <w:abstractNumId w:val="0"/>
  </w:num>
  <w:num w:numId="17" w16cid:durableId="296880190">
    <w:abstractNumId w:val="17"/>
  </w:num>
  <w:num w:numId="18" w16cid:durableId="105858753">
    <w:abstractNumId w:val="36"/>
  </w:num>
  <w:num w:numId="19" w16cid:durableId="746146910">
    <w:abstractNumId w:val="9"/>
  </w:num>
  <w:num w:numId="20" w16cid:durableId="1068266482">
    <w:abstractNumId w:val="22"/>
  </w:num>
  <w:num w:numId="21" w16cid:durableId="165750385">
    <w:abstractNumId w:val="18"/>
  </w:num>
  <w:num w:numId="22" w16cid:durableId="504326716">
    <w:abstractNumId w:val="19"/>
  </w:num>
  <w:num w:numId="23" w16cid:durableId="1278484143">
    <w:abstractNumId w:val="27"/>
  </w:num>
  <w:num w:numId="24" w16cid:durableId="913903435">
    <w:abstractNumId w:val="37"/>
  </w:num>
  <w:num w:numId="25" w16cid:durableId="672343220">
    <w:abstractNumId w:val="21"/>
  </w:num>
  <w:num w:numId="26" w16cid:durableId="2052151222">
    <w:abstractNumId w:val="13"/>
  </w:num>
  <w:num w:numId="27" w16cid:durableId="846136537">
    <w:abstractNumId w:val="34"/>
  </w:num>
  <w:num w:numId="28" w16cid:durableId="1267346841">
    <w:abstractNumId w:val="38"/>
  </w:num>
  <w:num w:numId="29" w16cid:durableId="1823426102">
    <w:abstractNumId w:val="23"/>
  </w:num>
  <w:num w:numId="30" w16cid:durableId="1072191700">
    <w:abstractNumId w:val="8"/>
  </w:num>
  <w:num w:numId="31" w16cid:durableId="1719669067">
    <w:abstractNumId w:val="12"/>
  </w:num>
  <w:num w:numId="32" w16cid:durableId="239951660">
    <w:abstractNumId w:val="5"/>
  </w:num>
  <w:num w:numId="33" w16cid:durableId="1780485204">
    <w:abstractNumId w:val="6"/>
  </w:num>
  <w:num w:numId="34" w16cid:durableId="401099475">
    <w:abstractNumId w:val="10"/>
  </w:num>
  <w:num w:numId="35" w16cid:durableId="395012681">
    <w:abstractNumId w:val="32"/>
  </w:num>
  <w:num w:numId="36" w16cid:durableId="1379664179">
    <w:abstractNumId w:val="20"/>
  </w:num>
  <w:num w:numId="37" w16cid:durableId="66615865">
    <w:abstractNumId w:val="15"/>
  </w:num>
  <w:num w:numId="38" w16cid:durableId="1420835999">
    <w:abstractNumId w:val="35"/>
  </w:num>
  <w:num w:numId="39" w16cid:durableId="139362636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D6"/>
    <w:rsid w:val="000548F2"/>
    <w:rsid w:val="000A5984"/>
    <w:rsid w:val="000C5F54"/>
    <w:rsid w:val="000D50B2"/>
    <w:rsid w:val="000E65BC"/>
    <w:rsid w:val="00122414"/>
    <w:rsid w:val="0014687D"/>
    <w:rsid w:val="00154F91"/>
    <w:rsid w:val="00164E80"/>
    <w:rsid w:val="00170BE1"/>
    <w:rsid w:val="001D5367"/>
    <w:rsid w:val="00262DB7"/>
    <w:rsid w:val="0026577B"/>
    <w:rsid w:val="002773F0"/>
    <w:rsid w:val="00280616"/>
    <w:rsid w:val="00280EC9"/>
    <w:rsid w:val="002918E0"/>
    <w:rsid w:val="002B3E91"/>
    <w:rsid w:val="002C1D36"/>
    <w:rsid w:val="002D39A6"/>
    <w:rsid w:val="002D7174"/>
    <w:rsid w:val="00315584"/>
    <w:rsid w:val="00341997"/>
    <w:rsid w:val="00355D08"/>
    <w:rsid w:val="0039577D"/>
    <w:rsid w:val="003A11A7"/>
    <w:rsid w:val="003C0679"/>
    <w:rsid w:val="003D2200"/>
    <w:rsid w:val="003E1457"/>
    <w:rsid w:val="003E5A44"/>
    <w:rsid w:val="00400393"/>
    <w:rsid w:val="00423F4B"/>
    <w:rsid w:val="00432101"/>
    <w:rsid w:val="004356C0"/>
    <w:rsid w:val="00471FA1"/>
    <w:rsid w:val="00497992"/>
    <w:rsid w:val="004A1263"/>
    <w:rsid w:val="004A2DD1"/>
    <w:rsid w:val="004B00D5"/>
    <w:rsid w:val="004B17E2"/>
    <w:rsid w:val="004D0402"/>
    <w:rsid w:val="004D291F"/>
    <w:rsid w:val="004D47EB"/>
    <w:rsid w:val="004D6900"/>
    <w:rsid w:val="004F0192"/>
    <w:rsid w:val="00533A9C"/>
    <w:rsid w:val="00555EDA"/>
    <w:rsid w:val="005711E2"/>
    <w:rsid w:val="00583F6C"/>
    <w:rsid w:val="00597FEC"/>
    <w:rsid w:val="005A5EE4"/>
    <w:rsid w:val="005B1B77"/>
    <w:rsid w:val="005D4B8A"/>
    <w:rsid w:val="00617C97"/>
    <w:rsid w:val="006203E0"/>
    <w:rsid w:val="0063292E"/>
    <w:rsid w:val="00635476"/>
    <w:rsid w:val="0065310C"/>
    <w:rsid w:val="00655B7C"/>
    <w:rsid w:val="00681C09"/>
    <w:rsid w:val="006A1A60"/>
    <w:rsid w:val="006E7AE5"/>
    <w:rsid w:val="007017DF"/>
    <w:rsid w:val="00717214"/>
    <w:rsid w:val="0073713E"/>
    <w:rsid w:val="00747917"/>
    <w:rsid w:val="00785593"/>
    <w:rsid w:val="00795AE3"/>
    <w:rsid w:val="007A0E59"/>
    <w:rsid w:val="007B2698"/>
    <w:rsid w:val="007B3C11"/>
    <w:rsid w:val="007C46F7"/>
    <w:rsid w:val="007F100A"/>
    <w:rsid w:val="007F1BA9"/>
    <w:rsid w:val="0080365E"/>
    <w:rsid w:val="00804900"/>
    <w:rsid w:val="00814F09"/>
    <w:rsid w:val="00826C22"/>
    <w:rsid w:val="008534DE"/>
    <w:rsid w:val="00871028"/>
    <w:rsid w:val="00880F44"/>
    <w:rsid w:val="0088650B"/>
    <w:rsid w:val="008D5A68"/>
    <w:rsid w:val="00915744"/>
    <w:rsid w:val="00932196"/>
    <w:rsid w:val="0093362E"/>
    <w:rsid w:val="00975E58"/>
    <w:rsid w:val="009A0DF3"/>
    <w:rsid w:val="009A57D8"/>
    <w:rsid w:val="009C0281"/>
    <w:rsid w:val="009D7852"/>
    <w:rsid w:val="009E0D18"/>
    <w:rsid w:val="00A01DF9"/>
    <w:rsid w:val="00A816EB"/>
    <w:rsid w:val="00A93950"/>
    <w:rsid w:val="00AA148D"/>
    <w:rsid w:val="00AA5E03"/>
    <w:rsid w:val="00AA6027"/>
    <w:rsid w:val="00AF29F0"/>
    <w:rsid w:val="00B047A9"/>
    <w:rsid w:val="00B130E9"/>
    <w:rsid w:val="00B23B9F"/>
    <w:rsid w:val="00B348A3"/>
    <w:rsid w:val="00B46606"/>
    <w:rsid w:val="00B537B5"/>
    <w:rsid w:val="00B632E9"/>
    <w:rsid w:val="00B86407"/>
    <w:rsid w:val="00B866CF"/>
    <w:rsid w:val="00BC3C5E"/>
    <w:rsid w:val="00BD5D4F"/>
    <w:rsid w:val="00BE75E7"/>
    <w:rsid w:val="00BE7C2E"/>
    <w:rsid w:val="00C31EE1"/>
    <w:rsid w:val="00C3205A"/>
    <w:rsid w:val="00C639DD"/>
    <w:rsid w:val="00CA3142"/>
    <w:rsid w:val="00CB7E6A"/>
    <w:rsid w:val="00CC1C9F"/>
    <w:rsid w:val="00CE2B4F"/>
    <w:rsid w:val="00CE721A"/>
    <w:rsid w:val="00D21DB8"/>
    <w:rsid w:val="00D33015"/>
    <w:rsid w:val="00D94474"/>
    <w:rsid w:val="00E21BD6"/>
    <w:rsid w:val="00E6465D"/>
    <w:rsid w:val="00E775A2"/>
    <w:rsid w:val="00E839D6"/>
    <w:rsid w:val="00E96F50"/>
    <w:rsid w:val="00EA77F1"/>
    <w:rsid w:val="00ED5151"/>
    <w:rsid w:val="00F0702D"/>
    <w:rsid w:val="00F27CF9"/>
    <w:rsid w:val="00F30AAE"/>
    <w:rsid w:val="00F30E39"/>
    <w:rsid w:val="00F71B83"/>
    <w:rsid w:val="00F76A45"/>
    <w:rsid w:val="00F93BDB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315A9D40-033E-4DE3-A5C0-2476E57A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85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9D7852"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pismamzZnak">
    <w:name w:val="pisma_mz Znak"/>
    <w:link w:val="pismamz"/>
    <w:rsid w:val="009D785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852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9D7852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785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"/>
    <w:basedOn w:val="Normalny"/>
    <w:link w:val="AkapitzlistZnak"/>
    <w:uiPriority w:val="99"/>
    <w:qFormat/>
    <w:rsid w:val="009D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785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D78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99"/>
    <w:qFormat/>
    <w:locked/>
    <w:rsid w:val="009D7852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1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1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10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1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10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E91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681C0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cf01">
    <w:name w:val="cf01"/>
    <w:basedOn w:val="Domylnaczcionkaakapitu"/>
    <w:rsid w:val="00533A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47939-FE05-4040-BC7B-61C64C14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1597</Words>
  <Characters>9587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3</cp:revision>
  <cp:lastPrinted>2025-01-24T11:56:00Z</cp:lastPrinted>
  <dcterms:created xsi:type="dcterms:W3CDTF">2025-09-12T13:10:00Z</dcterms:created>
  <dcterms:modified xsi:type="dcterms:W3CDTF">2025-09-12T13:20:00Z</dcterms:modified>
</cp:coreProperties>
</file>